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291" w:before="0" w:after="120"/>
        <w:ind w:left="0" w:hanging="0"/>
        <w:outlineLvl w:val="0"/>
        <w:rPr>
          <w:rFonts w:ascii="Times New Roman" w:hAnsi="Times New Roman" w:eastAsia="Times New Roman" w:cs="Times New Roman"/>
          <w:b/>
          <w:b/>
          <w:bCs/>
          <w:kern w:val="2"/>
          <w:lang w:val="pl-PL"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2"/>
          <w:lang w:val="pl-PL" w:eastAsia="pl-PL"/>
          <w14:ligatures w14:val="none"/>
        </w:rPr>
        <w:t xml:space="preserve">Ogólne Warunki Handlowe  </w:t>
      </w:r>
    </w:p>
    <w:p>
      <w:pPr>
        <w:pStyle w:val="Normal"/>
        <w:numPr>
          <w:ilvl w:val="0"/>
          <w:numId w:val="0"/>
        </w:numPr>
        <w:spacing w:lineRule="atLeast" w:line="291" w:before="0" w:after="120"/>
        <w:ind w:left="0" w:hanging="0"/>
        <w:outlineLvl w:val="0"/>
        <w:rPr>
          <w:rFonts w:ascii="Times New Roman" w:hAnsi="Times New Roman" w:eastAsia="Times New Roman" w:cs="Times New Roman"/>
          <w:b/>
          <w:b/>
          <w:bCs/>
          <w:kern w:val="2"/>
          <w:lang w:val="pl-PL"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2"/>
          <w:lang w:val="pl-PL" w:eastAsia="pl-PL"/>
          <w14:ligatures w14:val="none"/>
        </w:rPr>
      </w:r>
    </w:p>
    <w:p>
      <w:pPr>
        <w:pStyle w:val="Normal"/>
        <w:numPr>
          <w:ilvl w:val="0"/>
          <w:numId w:val="0"/>
        </w:numPr>
        <w:spacing w:lineRule="atLeast" w:line="305" w:before="0" w:afterAutospacing="1"/>
        <w:ind w:left="0" w:hanging="0"/>
        <w:jc w:val="both"/>
        <w:outlineLvl w:val="1"/>
        <w:rPr>
          <w:rFonts w:ascii="Times New Roman" w:hAnsi="Times New Roman" w:eastAsia="Times New Roman" w:cs="Times New Roman"/>
          <w:kern w:val="0"/>
          <w:lang w:val="pl-PL"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lang w:val="pl-PL" w:eastAsia="pl-PL"/>
          <w14:ligatures w14:val="none"/>
        </w:rPr>
        <w:t>Warunki dostawy i płatności LMG Spółka z ograniczoną odpowiedzialnością sp.k. w Grudziądzu 86-300, ul. Waryńskiego 32-26</w:t>
      </w:r>
    </w:p>
    <w:p>
      <w:pPr>
        <w:pStyle w:val="ListParagraph"/>
        <w:numPr>
          <w:ilvl w:val="0"/>
          <w:numId w:val="2"/>
        </w:numPr>
        <w:spacing w:lineRule="atLeast" w:line="360" w:beforeAutospacing="1" w:afterAutospacing="1"/>
        <w:contextualSpacing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lang w:eastAsia="pl-PL"/>
          <w14:ligatures w14:val="none"/>
        </w:rPr>
        <w:t>Zakres</w:t>
      </w:r>
    </w:p>
    <w:p>
      <w:pPr>
        <w:pStyle w:val="ListParagraph"/>
        <w:numPr>
          <w:ilvl w:val="0"/>
          <w:numId w:val="1"/>
        </w:numPr>
        <w:spacing w:lineRule="atLeast" w:line="360" w:beforeAutospacing="1" w:after="0"/>
        <w:contextualSpacing/>
        <w:jc w:val="both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lang w:eastAsia="pl-PL"/>
          <w14:ligatures w14:val="none"/>
        </w:rPr>
        <w:t xml:space="preserve">LMG spółka z ograniczoną odpowiedzialnością sp.k. (dalej jako LMG) dostarcza produkty na następujących warunkach sprzedaży, dostawy i płatności. </w:t>
      </w:r>
    </w:p>
    <w:p>
      <w:pPr>
        <w:pStyle w:val="ListParagraph"/>
        <w:numPr>
          <w:ilvl w:val="0"/>
          <w:numId w:val="1"/>
        </w:numPr>
        <w:spacing w:lineRule="atLeast" w:line="360" w:before="0" w:after="0"/>
        <w:contextualSpacing/>
        <w:jc w:val="both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lang w:eastAsia="pl-PL"/>
          <w14:ligatures w14:val="none"/>
        </w:rPr>
        <w:t xml:space="preserve">Ustne i telefoniczne obietnice składane przez naszych przedstawicieli handlowych wymagają potwierdzenia w formie pisemnej lub dokumentowej tj. za pośrednictwem wiadomości e-mail.  </w:t>
      </w:r>
    </w:p>
    <w:p>
      <w:pPr>
        <w:pStyle w:val="ListParagraph"/>
        <w:numPr>
          <w:ilvl w:val="0"/>
          <w:numId w:val="1"/>
        </w:numPr>
        <w:spacing w:lineRule="atLeast" w:line="360" w:before="0" w:after="0"/>
        <w:contextualSpacing/>
        <w:jc w:val="both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lang w:eastAsia="pl-PL"/>
          <w14:ligatures w14:val="none"/>
        </w:rPr>
        <w:t xml:space="preserve">Indywidualne warunki kupującego obowiązują tylko wtedy, gdy firma LMG wyraźnie wyrazi na to pisemną zgodę. </w:t>
      </w:r>
    </w:p>
    <w:p>
      <w:pPr>
        <w:pStyle w:val="ListParagraph"/>
        <w:numPr>
          <w:ilvl w:val="0"/>
          <w:numId w:val="1"/>
        </w:numPr>
        <w:spacing w:lineRule="atLeast" w:line="360" w:before="0" w:after="0"/>
        <w:contextualSpacing/>
        <w:jc w:val="both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lang w:eastAsia="pl-PL"/>
          <w14:ligatures w14:val="none"/>
        </w:rPr>
        <w:t>W każdej ofercie, potwierdzeniu zamówienia, dostawie i fakturze LMG powołuje się na Ogólne Warunki Handlowe, których aktualna wersja jest zawsze dostępna na stronie internetowej www.lemigo.pl</w:t>
      </w:r>
    </w:p>
    <w:p>
      <w:pPr>
        <w:pStyle w:val="ListParagraph"/>
        <w:numPr>
          <w:ilvl w:val="0"/>
          <w:numId w:val="0"/>
        </w:numPr>
        <w:spacing w:lineRule="atLeast" w:line="360" w:before="0" w:afterAutospacing="1"/>
        <w:ind w:left="1440" w:hanging="0"/>
        <w:contextualSpacing/>
        <w:jc w:val="both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lang w:eastAsia="pl-PL"/>
          <w14:ligatures w14:val="none"/>
        </w:rPr>
      </w:r>
    </w:p>
    <w:p>
      <w:pPr>
        <w:pStyle w:val="ListParagraph"/>
        <w:numPr>
          <w:ilvl w:val="0"/>
          <w:numId w:val="2"/>
        </w:numPr>
        <w:spacing w:lineRule="atLeast" w:line="360" w:beforeAutospacing="1" w:afterAutospacing="1"/>
        <w:contextualSpacing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lang w:eastAsia="pl-PL"/>
          <w14:ligatures w14:val="none"/>
        </w:rPr>
        <w:t>Wysyłka i przeniesienie ryzyka</w:t>
      </w:r>
    </w:p>
    <w:p>
      <w:pPr>
        <w:pStyle w:val="Normal"/>
        <w:spacing w:lineRule="atLeast" w:line="360" w:beforeAutospacing="1" w:afterAutospacing="1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lang w:eastAsia="pl-PL"/>
          <w14:ligatures w14:val="none"/>
        </w:rPr>
        <w:t>1. Dostawy na terenie kraju oraz poza teren Polski realizowane są frachtem spedycyjnym i na ryzyko kupującego, według warunków określonych w Inco Terms.</w:t>
      </w:r>
    </w:p>
    <w:p>
      <w:pPr>
        <w:pStyle w:val="Normal"/>
        <w:spacing w:lineRule="atLeast" w:line="360" w:beforeAutospacing="1" w:afterAutospacing="1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lang w:eastAsia="pl-PL"/>
          <w14:ligatures w14:val="none"/>
        </w:rPr>
        <w:t xml:space="preserve">2. </w:t>
      </w:r>
      <w:r>
        <w:rPr>
          <w:rFonts w:ascii="Times New Roman" w:hAnsi="Times New Roman"/>
        </w:rPr>
        <w:t>Odbiorcy przysługuje prawo weryfikacji zamówionego towaru oraz zgłoszenia w ciągu 7 dni, od daty jego przyjęcia na magazyn wszelkich nieścisłości produktowych, w tym ewentualnych różnic ilościowych.Po wskazanym terminie wszelkie reklamacje nie będą rozpatrywane oraz uznawane.W przypadku dostaw zleconych firmami kurierskimi warunkiem zgłoszenia reklamacji jest przekazanie protokołu niezgodności, podpisanego przez kuriera.</w:t>
      </w:r>
    </w:p>
    <w:p>
      <w:pPr>
        <w:pStyle w:val="Normal"/>
        <w:spacing w:lineRule="atLeast" w:line="360" w:beforeAutospacing="1" w:afterAutospacing="1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lang w:eastAsia="pl-PL"/>
          <w14:ligatures w14:val="none"/>
        </w:rPr>
      </w:r>
    </w:p>
    <w:p>
      <w:pPr>
        <w:pStyle w:val="ListParagraph"/>
        <w:numPr>
          <w:ilvl w:val="0"/>
          <w:numId w:val="2"/>
        </w:numPr>
        <w:spacing w:lineRule="atLeast" w:line="360" w:beforeAutospacing="1" w:afterAutospacing="1"/>
        <w:contextualSpacing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lang w:eastAsia="pl-PL"/>
          <w14:ligatures w14:val="none"/>
        </w:rPr>
        <w:t>Przetwarzanie zamówienia</w:t>
      </w:r>
    </w:p>
    <w:p>
      <w:pPr>
        <w:pStyle w:val="ListParagraph"/>
        <w:spacing w:lineRule="atLeast" w:line="360" w:beforeAutospacing="1" w:afterAutospacing="1"/>
        <w:ind w:left="2160" w:hanging="0"/>
        <w:contextualSpacing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lang w:eastAsia="pl-PL"/>
          <w14:ligatures w14:val="none"/>
        </w:rPr>
      </w:r>
    </w:p>
    <w:p>
      <w:pPr>
        <w:pStyle w:val="ListParagraph"/>
        <w:numPr>
          <w:ilvl w:val="0"/>
          <w:numId w:val="3"/>
        </w:numPr>
        <w:spacing w:lineRule="atLeast" w:line="360" w:beforeAutospacing="1" w:after="0"/>
        <w:contextualSpacing/>
        <w:jc w:val="both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lang w:eastAsia="pl-PL"/>
          <w14:ligatures w14:val="none"/>
        </w:rPr>
        <w:t>Terminy dostaw ulegają milczącemu przedłużeniu o czas wystąpienia przeszkody, jeżeli przeszkoda wynika z okoliczności, za które odpowiedzialność nie ponosi LMG, a w szczególności  na skutek strajku, aktów prawnych, z powodu siły wyższej lub innych okoliczności, których nie możemy uniknąć. Dotyczy to w szczególności przesunięć terminów dostaw wynikających z wszelkiego rodzaju zakłóceń w produkcji, a także komplikacji transportowych lub specyficznych dla danego kraju.</w:t>
      </w:r>
    </w:p>
    <w:p>
      <w:pPr>
        <w:pStyle w:val="ListParagraph"/>
        <w:numPr>
          <w:ilvl w:val="0"/>
          <w:numId w:val="3"/>
        </w:numPr>
        <w:spacing w:lineRule="atLeast" w:line="360" w:before="0" w:after="0"/>
        <w:contextualSpacing/>
        <w:jc w:val="both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lang w:eastAsia="pl-PL"/>
          <w14:ligatures w14:val="none"/>
        </w:rPr>
        <w:t xml:space="preserve"> </w:t>
      </w:r>
      <w:r>
        <w:rPr>
          <w:rFonts w:eastAsia="Times New Roman" w:cs="Times New Roman" w:ascii="Times New Roman" w:hAnsi="Times New Roman"/>
          <w:kern w:val="0"/>
          <w:lang w:eastAsia="pl-PL"/>
          <w14:ligatures w14:val="none"/>
        </w:rPr>
        <w:t xml:space="preserve">W przypadku opóźnienia w dostawie z naszej winy należy wyznaczyć okres karencji wynoszący co najmniej 6 tygodni. Jeżeli termin upłynie bez skutku, zarówno kupujący, jak i LMG mogą odstąpić od umowy. Roszczenia odszkodowawcze lub obniżki z tytułu opóźnienia wobec LMG są wykluczone, chyba że opóźnienie wynika z rażącego niedbalstwa lub umyślnego naruszenia umowy przez LMG. </w:t>
      </w:r>
    </w:p>
    <w:p>
      <w:pPr>
        <w:pStyle w:val="ListParagraph"/>
        <w:numPr>
          <w:ilvl w:val="0"/>
          <w:numId w:val="3"/>
        </w:numPr>
        <w:spacing w:lineRule="atLeast" w:line="360" w:before="0" w:after="0"/>
        <w:contextualSpacing/>
        <w:jc w:val="both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lang w:eastAsia="pl-PL"/>
          <w14:ligatures w14:val="none"/>
        </w:rPr>
        <w:t xml:space="preserve">Dostawy nie uwzględniają badań laboratoryjnych związanych z zamówieniem. </w:t>
      </w:r>
    </w:p>
    <w:p>
      <w:pPr>
        <w:pStyle w:val="ListParagraph"/>
        <w:numPr>
          <w:ilvl w:val="0"/>
          <w:numId w:val="3"/>
        </w:numPr>
        <w:spacing w:lineRule="atLeast" w:line="360" w:before="0" w:after="0"/>
        <w:contextualSpacing/>
        <w:jc w:val="both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lang w:eastAsia="pl-PL"/>
          <w14:ligatures w14:val="none"/>
        </w:rPr>
        <w:t xml:space="preserve">W przypadku anulowania zamówienia bez winy LMG zastrzegamy sobie prawo do obciążenia dotychczas poniesionymi kosztami. </w:t>
      </w:r>
    </w:p>
    <w:p>
      <w:pPr>
        <w:pStyle w:val="ListParagraph"/>
        <w:numPr>
          <w:ilvl w:val="0"/>
          <w:numId w:val="3"/>
        </w:numPr>
        <w:spacing w:lineRule="atLeast" w:line="360" w:before="0" w:after="0"/>
        <w:contextualSpacing/>
        <w:jc w:val="both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lang w:eastAsia="pl-PL"/>
          <w14:ligatures w14:val="none"/>
        </w:rPr>
        <w:t xml:space="preserve"> </w:t>
      </w:r>
      <w:r>
        <w:rPr>
          <w:rFonts w:eastAsia="Times New Roman" w:cs="Times New Roman" w:ascii="Times New Roman" w:hAnsi="Times New Roman"/>
          <w:kern w:val="0"/>
          <w:lang w:eastAsia="pl-PL"/>
          <w14:ligatures w14:val="none"/>
        </w:rPr>
        <w:t>W przypadku niestandardowych marek własnych i/lub transakcji EXW, LMG milcząco zakłada, że kupujący jest posiadaczem praw do dostarczonego dzieła sztuki lub marki i że jest on wolny od sprzecznych praw osób trzecich. W przypadku naruszeń kupujący przejmuje pełną rekompensatę za szkody.</w:t>
      </w:r>
    </w:p>
    <w:p>
      <w:pPr>
        <w:pStyle w:val="ListParagraph"/>
        <w:numPr>
          <w:ilvl w:val="0"/>
          <w:numId w:val="3"/>
        </w:numPr>
        <w:spacing w:lineRule="atLeast" w:line="360" w:before="0" w:after="0"/>
        <w:contextualSpacing/>
        <w:jc w:val="both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lang w:eastAsia="pl-PL"/>
          <w14:ligatures w14:val="none"/>
        </w:rPr>
        <w:t>LMG zastrzega sobie prawo do sprzedaży przez sklepy marek własnych niewielkiej części towarów w sklepach fabrycznych w celach testowych. Dotyczy to również nadprodukcji. Zastrzegamy sobie również prawo do sprzedaży próbek i towarów klasy B.</w:t>
      </w:r>
    </w:p>
    <w:p>
      <w:pPr>
        <w:pStyle w:val="ListParagraph"/>
        <w:numPr>
          <w:ilvl w:val="0"/>
          <w:numId w:val="3"/>
        </w:numPr>
        <w:spacing w:lineRule="atLeast" w:line="360" w:before="0" w:afterAutospacing="1"/>
        <w:contextualSpacing/>
        <w:jc w:val="both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lang w:eastAsia="pl-PL"/>
          <w14:ligatures w14:val="none"/>
        </w:rPr>
        <w:t>Przy zamówieniach OEM dopuszczalne są różnice ilościowe po</w:t>
      </w:r>
      <w:r>
        <w:rPr>
          <w:rFonts w:eastAsia="Times New Roman" w:cs="Times New Roman" w:ascii="Times New Roman" w:hAnsi="Times New Roman"/>
          <w:kern w:val="0"/>
          <w:lang w:eastAsia="pl-PL"/>
          <w14:ligatures w14:val="none"/>
        </w:rPr>
        <w:t>m</w:t>
      </w:r>
      <w:r>
        <w:rPr>
          <w:rFonts w:eastAsia="Times New Roman" w:cs="Times New Roman" w:ascii="Times New Roman" w:hAnsi="Times New Roman"/>
          <w:kern w:val="0"/>
          <w:lang w:eastAsia="pl-PL"/>
          <w14:ligatures w14:val="none"/>
        </w:rPr>
        <w:t>iędzy 3, a 5%.</w:t>
      </w:r>
    </w:p>
    <w:p>
      <w:pPr>
        <w:pStyle w:val="ListParagraph"/>
        <w:spacing w:lineRule="atLeast" w:line="360" w:before="0" w:afterAutospacing="1"/>
        <w:contextualSpacing/>
        <w:jc w:val="both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lang w:eastAsia="pl-PL"/>
          <w14:ligatures w14:val="none"/>
        </w:rPr>
      </w:r>
    </w:p>
    <w:p>
      <w:pPr>
        <w:pStyle w:val="ListParagraph"/>
        <w:spacing w:lineRule="atLeast" w:line="360" w:before="0" w:afterAutospacing="1"/>
        <w:contextualSpacing/>
        <w:jc w:val="both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lang w:eastAsia="pl-PL"/>
          <w14:ligatures w14:val="none"/>
        </w:rPr>
      </w:r>
    </w:p>
    <w:p>
      <w:pPr>
        <w:pStyle w:val="ListParagraph"/>
        <w:numPr>
          <w:ilvl w:val="0"/>
          <w:numId w:val="2"/>
        </w:numPr>
        <w:spacing w:lineRule="atLeast" w:line="360" w:beforeAutospacing="1" w:afterAutospacing="1"/>
        <w:contextualSpacing/>
        <w:rPr>
          <w:rFonts w:ascii="Times New Roman" w:hAnsi="Times New Roman" w:eastAsia="Times New Roman" w:cs="Times New Roman"/>
          <w:b/>
          <w:b/>
          <w:bCs/>
          <w:kern w:val="0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lang w:eastAsia="pl-PL"/>
          <w14:ligatures w14:val="none"/>
        </w:rPr>
        <w:t>Przetwarzanie płatności, zastrzeżenie własności</w:t>
      </w:r>
    </w:p>
    <w:p>
      <w:pPr>
        <w:pStyle w:val="ListParagraph"/>
        <w:spacing w:lineRule="atLeast" w:line="360" w:beforeAutospacing="1" w:afterAutospacing="1"/>
        <w:ind w:left="2160" w:hanging="0"/>
        <w:contextualSpacing/>
        <w:rPr>
          <w:rFonts w:ascii="Times New Roman" w:hAnsi="Times New Roman" w:eastAsia="Times New Roman" w:cs="Times New Roman"/>
          <w:b/>
          <w:b/>
          <w:bCs/>
          <w:kern w:val="0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lang w:eastAsia="pl-PL"/>
          <w14:ligatures w14:val="none"/>
        </w:rPr>
      </w:r>
    </w:p>
    <w:p>
      <w:pPr>
        <w:pStyle w:val="ListParagraph"/>
        <w:numPr>
          <w:ilvl w:val="0"/>
          <w:numId w:val="4"/>
        </w:numPr>
        <w:spacing w:lineRule="atLeast" w:line="360" w:beforeAutospacing="1" w:after="0"/>
        <w:contextualSpacing/>
        <w:jc w:val="both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lang w:eastAsia="pl-PL"/>
          <w14:ligatures w14:val="none"/>
        </w:rPr>
        <w:t xml:space="preserve">Towar dostarczony przez LMG pozostaje  własnością LMG do chwili całkowitej zapłaty wszystkich  roszczeń, łącznie z odsetkami i kosztami. </w:t>
        <w:br/>
        <w:t>W przypadku OEM i/lub transakcji Inco Terms, LMG zastrzega sobie prawo do sprzedaży towaru osobom trzecim w celu ograniczenia szkód.  W takim przypadku Klient udziela LMG prawa do dzieła sztuki lub marki, które automatycznie przechodzi na LMG. Ewentualne straty powstałe w wyniku sprzedaży osobom trzecim oraz 50% pierwotnie potwierdzonej wartości zamówienia są płatne natychmiast jako rekompensata.</w:t>
      </w:r>
    </w:p>
    <w:p>
      <w:pPr>
        <w:pStyle w:val="ListParagraph"/>
        <w:numPr>
          <w:ilvl w:val="0"/>
          <w:numId w:val="4"/>
        </w:numPr>
        <w:spacing w:lineRule="atLeast" w:line="360" w:before="0" w:after="0"/>
        <w:contextualSpacing/>
        <w:jc w:val="both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lang w:eastAsia="pl-PL"/>
          <w14:ligatures w14:val="none"/>
        </w:rPr>
        <w:t xml:space="preserve"> </w:t>
      </w:r>
      <w:r>
        <w:rPr>
          <w:rFonts w:eastAsia="Times New Roman" w:cs="Times New Roman" w:ascii="Times New Roman" w:hAnsi="Times New Roman"/>
          <w:kern w:val="0"/>
          <w:lang w:eastAsia="pl-PL"/>
          <w14:ligatures w14:val="none"/>
        </w:rPr>
        <w:t xml:space="preserve">Kupujący nie ma prawa zastawiać towaru ani przekazywać go osobom trzecim w ramach zabezpieczenia. </w:t>
      </w:r>
    </w:p>
    <w:p>
      <w:pPr>
        <w:pStyle w:val="ListParagraph"/>
        <w:numPr>
          <w:ilvl w:val="0"/>
          <w:numId w:val="4"/>
        </w:numPr>
        <w:spacing w:lineRule="atLeast" w:line="360" w:before="0" w:after="0"/>
        <w:contextualSpacing/>
        <w:jc w:val="both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lang w:eastAsia="pl-PL"/>
          <w14:ligatures w14:val="none"/>
        </w:rPr>
        <w:t xml:space="preserve">Do czasu odwołania kupujący ma prawo do odsprzedaży posiadanego przez LMG towaru w ramach normalnej działalności. Jest on zobowiązany do zastrzeżenia własności towaru na rzecz swojego kupującego. Kupujący ceduje na LMG z góry wszelkie roszczenia wynikające z odsprzedaży. Jeśli kupujący prawidłowo wywiąże się ze swoich zobowiązań płatniczych wobec LMG, jest on uprawniony do dochodzenia roszczenia wobec swojego klienta. To upoważnienie do ściągania należności jest dla LMG w każdej chwili swobodnie odwołalne. </w:t>
      </w:r>
    </w:p>
    <w:p>
      <w:pPr>
        <w:pStyle w:val="ListParagraph"/>
        <w:numPr>
          <w:ilvl w:val="0"/>
          <w:numId w:val="0"/>
        </w:numPr>
        <w:spacing w:lineRule="atLeast" w:line="36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lang w:eastAsia="pl-PL"/>
          <w14:ligatures w14:val="none"/>
        </w:rPr>
      </w:r>
    </w:p>
    <w:p>
      <w:pPr>
        <w:pStyle w:val="ListParagraph"/>
        <w:numPr>
          <w:ilvl w:val="0"/>
          <w:numId w:val="4"/>
        </w:numPr>
        <w:spacing w:lineRule="atLeast" w:line="360" w:before="0" w:afterAutospacing="1"/>
        <w:contextualSpacing/>
        <w:jc w:val="both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lang w:eastAsia="pl-PL"/>
          <w14:ligatures w14:val="none"/>
        </w:rPr>
        <w:t xml:space="preserve"> </w:t>
      </w:r>
      <w:r>
        <w:rPr>
          <w:rFonts w:eastAsia="Times New Roman" w:cs="Times New Roman" w:ascii="Times New Roman" w:hAnsi="Times New Roman"/>
          <w:kern w:val="0"/>
          <w:lang w:eastAsia="pl-PL"/>
          <w14:ligatures w14:val="none"/>
        </w:rPr>
        <w:t xml:space="preserve">W przypadku przekroczenia terminu płatności kupujący otrzyma wezwanie do zapłaty . LMG zastrzega sobie prawo naliczenia ustawowych odsetek handlowych.  Jeżeli płatność nie zostanie dokonana w okresie karencji po wezwaniu do zapłaty , roszczenie zostanie przekazane do firmy windykacyjnej w celu windykacji bez dalszych pism do kupującego. Powstałe w ten sposób koszty zostaną pobrane w całości. </w:t>
      </w:r>
    </w:p>
    <w:p>
      <w:pPr>
        <w:pStyle w:val="ListParagraph"/>
        <w:spacing w:lineRule="atLeast" w:line="360" w:beforeAutospacing="1" w:afterAutospacing="1"/>
        <w:contextualSpacing/>
        <w:jc w:val="both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lang w:eastAsia="pl-PL"/>
          <w14:ligatures w14:val="none"/>
        </w:rPr>
      </w:r>
    </w:p>
    <w:p>
      <w:pPr>
        <w:pStyle w:val="ListParagraph"/>
        <w:numPr>
          <w:ilvl w:val="0"/>
          <w:numId w:val="2"/>
        </w:numPr>
        <w:spacing w:lineRule="atLeast" w:line="360" w:beforeAutospacing="1" w:afterAutospacing="1"/>
        <w:contextualSpacing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lang w:eastAsia="pl-PL"/>
          <w14:ligatures w14:val="none"/>
        </w:rPr>
        <w:t>Zasady płatności</w:t>
      </w:r>
    </w:p>
    <w:p>
      <w:pPr>
        <w:pStyle w:val="ListParagraph"/>
        <w:numPr>
          <w:ilvl w:val="0"/>
          <w:numId w:val="5"/>
        </w:numPr>
        <w:spacing w:lineRule="atLeast" w:line="360" w:beforeAutospacing="1" w:after="0"/>
        <w:contextualSpacing/>
        <w:jc w:val="both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lang w:eastAsia="pl-PL"/>
          <w14:ligatures w14:val="none"/>
        </w:rPr>
        <w:t xml:space="preserve">LMG wystawia faktury dniu wysyłki lub odbioru towaru. </w:t>
      </w:r>
    </w:p>
    <w:p>
      <w:pPr>
        <w:pStyle w:val="ListParagraph"/>
        <w:numPr>
          <w:ilvl w:val="0"/>
          <w:numId w:val="5"/>
        </w:numPr>
        <w:spacing w:lineRule="atLeast" w:line="360" w:before="0" w:after="0"/>
        <w:contextualSpacing/>
        <w:jc w:val="both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lang w:eastAsia="pl-PL"/>
          <w14:ligatures w14:val="none"/>
        </w:rPr>
        <w:t>Warunki płatności reguluje wystawiony dokument sprzedaży.</w:t>
      </w:r>
    </w:p>
    <w:p>
      <w:pPr>
        <w:pStyle w:val="ListParagraph"/>
        <w:numPr>
          <w:ilvl w:val="0"/>
          <w:numId w:val="2"/>
        </w:numPr>
        <w:spacing w:lineRule="atLeast" w:line="360" w:beforeAutospacing="1" w:afterAutospacing="1"/>
        <w:contextualSpacing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lang w:eastAsia="pl-PL"/>
          <w14:ligatures w14:val="none"/>
        </w:rPr>
        <w:t>Postanowienia końcowe</w:t>
      </w:r>
    </w:p>
    <w:p>
      <w:pPr>
        <w:pStyle w:val="ListParagraph"/>
        <w:numPr>
          <w:ilvl w:val="0"/>
          <w:numId w:val="6"/>
        </w:numPr>
        <w:spacing w:lineRule="atLeast" w:line="360" w:before="0" w:afterAutospacing="1"/>
        <w:contextualSpacing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cs="Times New Roman" w:ascii="Times New Roman" w:hAnsi="Times New Roman"/>
        </w:rPr>
        <w:t xml:space="preserve">W stosunku do wszelkich sporów mogących wyniknąć pośrednio lub bezpośrednio z niniejszych uregulowań określa się właściwość miejscową i kompetencyjną sądu polskiego odpowiedniego dla siedziby LMG. </w:t>
      </w:r>
    </w:p>
    <w:p>
      <w:pPr>
        <w:pStyle w:val="ListParagraph"/>
        <w:spacing w:lineRule="atLeast" w:line="360" w:beforeAutospacing="1" w:afterAutospacing="1"/>
        <w:contextualSpacing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lang w:eastAsia="pl-PL"/>
          <w14:ligatures w14:val="none"/>
        </w:rPr>
      </w:r>
    </w:p>
    <w:p>
      <w:pPr>
        <w:pStyle w:val="Normal"/>
        <w:rPr>
          <w:rFonts w:ascii="Times New Roman" w:hAnsi="Times New Roman"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lang w:eastAsia="pl-PL"/>
          <w14:ligatures w14:val="none"/>
        </w:rPr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46476171"/>
    </w:sdtPr>
    <w:sdtContent>
      <w:p>
        <w:pPr>
          <w:pStyle w:val="Stopka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3</w:t>
        </w:r>
        <w:r>
          <w:rPr>
            <w:rStyle w:val="Pagenumber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upperRoman"/>
      <w:lvlText w:val="%1."/>
      <w:lvlJc w:val="left"/>
      <w:pPr>
        <w:ind w:left="2160" w:hanging="72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8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4"/>
        <w:lang w:val="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4"/>
      <w:szCs w:val="24"/>
      <w:lang w:val="pl" w:eastAsia="en-US" w:bidi="ar-SA"/>
      <w14:ligatures w14:val="standardContextual"/>
    </w:rPr>
  </w:style>
  <w:style w:type="paragraph" w:styleId="Nagwek1">
    <w:name w:val="Heading 1"/>
    <w:basedOn w:val="Normal"/>
    <w:link w:val="Nagwek1Znak"/>
    <w:uiPriority w:val="9"/>
    <w:qFormat/>
    <w:rsid w:val="00401049"/>
    <w:pPr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  <w14:ligatures w14:val="none"/>
    </w:rPr>
  </w:style>
  <w:style w:type="paragraph" w:styleId="Nagwek2">
    <w:name w:val="Heading 2"/>
    <w:basedOn w:val="Normal"/>
    <w:link w:val="Nagwek2Znak"/>
    <w:uiPriority w:val="9"/>
    <w:qFormat/>
    <w:rsid w:val="00401049"/>
    <w:pPr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401049"/>
    <w:rPr>
      <w:rFonts w:ascii="Times New Roman" w:hAnsi="Times New Roman" w:eastAsia="Times New Roman" w:cs="Times New Roman"/>
      <w:b/>
      <w:bCs/>
      <w:kern w:val="2"/>
      <w:sz w:val="48"/>
      <w:szCs w:val="48"/>
      <w:lang w:val="pl" w:eastAsia="pl-PL"/>
      <w14:ligatures w14:val="none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401049"/>
    <w:rPr>
      <w:rFonts w:ascii="Times New Roman" w:hAnsi="Times New Roman" w:eastAsia="Times New Roman" w:cs="Times New Roman"/>
      <w:b/>
      <w:bCs/>
      <w:kern w:val="0"/>
      <w:sz w:val="36"/>
      <w:szCs w:val="36"/>
      <w:lang w:val="pl" w:eastAsia="pl-PL"/>
      <w14:ligatures w14:val="none"/>
    </w:rPr>
  </w:style>
  <w:style w:type="character" w:styleId="Strong">
    <w:name w:val="Strong"/>
    <w:basedOn w:val="DefaultParagraphFont"/>
    <w:uiPriority w:val="22"/>
    <w:qFormat/>
    <w:rsid w:val="00401049"/>
    <w:rPr>
      <w:b/>
      <w:bCs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96f9a"/>
    <w:rPr/>
  </w:style>
  <w:style w:type="character" w:styleId="Pagenumber">
    <w:name w:val="page number"/>
    <w:basedOn w:val="DefaultParagraphFont"/>
    <w:uiPriority w:val="99"/>
    <w:semiHidden/>
    <w:unhideWhenUsed/>
    <w:qFormat/>
    <w:rsid w:val="00396f9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85910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396f9a"/>
    <w:pPr>
      <w:spacing w:beforeAutospacing="1" w:afterAutospacing="1"/>
    </w:pPr>
    <w:rPr>
      <w:rFonts w:ascii="Times New Roman" w:hAnsi="Times New Roman" w:eastAsia="Times New Roman" w:cs="Times New Roman"/>
      <w:kern w:val="0"/>
      <w:lang w:val="pl-PL" w:eastAsia="pl-PL"/>
      <w14:ligatures w14:val="none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396f9a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426CB7-E6E7-C24C-8D2D-C9D6F9E2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LibreOffice/6.4.3.2$Windows_X86_64 LibreOffice_project/747b5d0ebf89f41c860ec2a39efd7cb15b54f2d8</Application>
  <Pages>3</Pages>
  <Words>691</Words>
  <Characters>4372</Characters>
  <CharactersWithSpaces>5034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2023-10-19T19:40:00Z</dcterms:created>
  <dc:creator>Katarzyna Makowska</dc:creator>
  <dc:description/>
  <dc:language>pl-PL</dc:language>
  <cp:lastModifiedBy/>
  <cp:lastPrinted>2023-10-20T13:20:44Z</cp:lastPrinted>
  <dcterms:modified xsi:type="dcterms:W3CDTF">2024-02-06T08:24:25Z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